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88"/>
      </w:pPr>
      <w:r>
        <w:rPr>
          <w:rFonts w:ascii="Arial" w:cs="Arial" w:eastAsia="Arial" w:hAnsi="Arial"/>
          <w:b/>
          <w:bCs/>
          <w:color w:val="6B6B6B"/>
          <w:sz w:val="16"/>
          <w:szCs w:val="16"/>
        </w:rPr>
        <w:t xml:space="preserve">YSECURITY · THE ON-DEMAND CYBERSECURITY TEAM</w:t>
      </w:r>
    </w:p>
    <w:p>
      <w:pPr>
        <w:spacing w:after="200" w:before="600"/>
      </w:pPr>
      <w:r>
        <w:rPr>
          <w:rFonts w:ascii="Arial" w:cs="Arial" w:eastAsia="Arial" w:hAnsi="Arial"/>
          <w:b/>
          <w:bCs/>
          <w:color w:val="0A0A0A"/>
          <w:sz w:val="48"/>
          <w:szCs w:val="48"/>
        </w:rPr>
        <w:t xml:space="preserve">The week after your SOC 2 report lands</w:t>
      </w:r>
    </w:p>
    <w:p>
      <w:pPr>
        <w:spacing w:after="480" w:before="0" w:line="288"/>
      </w:pPr>
      <w:r>
        <w:rPr>
          <w:rFonts w:ascii="Arial" w:cs="Arial" w:eastAsia="Arial" w:hAnsi="Arial"/>
          <w:color w:val="3A3A3A"/>
          <w:sz w:val="28"/>
          <w:szCs w:val="28"/>
        </w:rPr>
        <w:t xml:space="preserve">Seven templates to answer enterprise buyers before they ask</w:t>
      </w:r>
    </w:p>
    <w:p>
      <w:pPr>
        <w:spacing w:after="240" w:before="0" w:line="288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Your SOC 2 report gets you into a buyer's security review. These templates answer the six questions reviewers usually ask next, so you can send them with the report.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600"/>
        <w:gridCol w:w="5160"/>
      </w:tblGrid>
      <w:tr>
        <w:trPr>
          <w:tblHeader/>
        </w:trPr>
        <w:tc>
          <w:tcPr>
            <w:tcW w:type="dxa" w:w="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9"/>
                <w:szCs w:val="19"/>
              </w:rPr>
              <w:t xml:space="preserve">Template</w:t>
            </w:r>
          </w:p>
        </w:tc>
        <w:tc>
          <w:tcPr>
            <w:tcW w:type="dxa" w:w="51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9"/>
                <w:szCs w:val="19"/>
              </w:rPr>
              <w:t xml:space="preserve">Answers the buyer's question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9"/>
                <w:szCs w:val="19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9"/>
                <w:szCs w:val="19"/>
              </w:rPr>
              <w:t xml:space="preserve">Cover note to the buyer</w:t>
            </w:r>
          </w:p>
        </w:tc>
        <w:tc>
          <w:tcPr>
            <w:tcW w:type="dxa" w:w="51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9"/>
                <w:szCs w:val="19"/>
              </w:rPr>
              <w:t xml:space="preserve">What's in this packet?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9"/>
                <w:szCs w:val="19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9"/>
                <w:szCs w:val="19"/>
              </w:rPr>
              <w:t xml:space="preserve">Pentest scope summary</w:t>
            </w:r>
          </w:p>
        </w:tc>
        <w:tc>
          <w:tcPr>
            <w:tcW w:type="dxa" w:w="51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9"/>
                <w:szCs w:val="19"/>
              </w:rPr>
              <w:t xml:space="preserve">Can we see your pentest report and its scope?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9"/>
                <w:szCs w:val="19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9"/>
                <w:szCs w:val="19"/>
              </w:rPr>
              <w:t xml:space="preserve">SOC 2 scope statement</w:t>
            </w:r>
          </w:p>
        </w:tc>
        <w:tc>
          <w:tcPr>
            <w:tcW w:type="dxa" w:w="51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9"/>
                <w:szCs w:val="19"/>
              </w:rPr>
              <w:t xml:space="preserve">What's outside the report?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9"/>
                <w:szCs w:val="19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9"/>
                <w:szCs w:val="19"/>
              </w:rPr>
              <w:t xml:space="preserve">Agent access register</w:t>
            </w:r>
          </w:p>
        </w:tc>
        <w:tc>
          <w:tcPr>
            <w:tcW w:type="dxa" w:w="51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9"/>
                <w:szCs w:val="19"/>
              </w:rPr>
              <w:t xml:space="preserve">What can your agents reach?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9"/>
                <w:szCs w:val="19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9"/>
                <w:szCs w:val="19"/>
              </w:rPr>
              <w:t xml:space="preserve">Model and subprocessor disclosure</w:t>
            </w:r>
          </w:p>
        </w:tc>
        <w:tc>
          <w:tcPr>
            <w:tcW w:type="dxa" w:w="51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9"/>
                <w:szCs w:val="19"/>
              </w:rPr>
              <w:t xml:space="preserve">Which models touch our data, and where do they run?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9"/>
                <w:szCs w:val="19"/>
              </w:rPr>
              <w:t xml:space="preserve">6</w:t>
            </w:r>
          </w:p>
        </w:tc>
        <w:tc>
          <w:tcPr>
            <w:tcW w:type="dxa" w:w="3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9"/>
                <w:szCs w:val="19"/>
              </w:rPr>
              <w:t xml:space="preserve">Named owners and security contact</w:t>
            </w:r>
          </w:p>
        </w:tc>
        <w:tc>
          <w:tcPr>
            <w:tcW w:type="dxa" w:w="51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9"/>
                <w:szCs w:val="19"/>
              </w:rPr>
              <w:t xml:space="preserve">Who's the human?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9"/>
                <w:szCs w:val="19"/>
              </w:rPr>
              <w:t xml:space="preserve">7</w:t>
            </w:r>
          </w:p>
        </w:tc>
        <w:tc>
          <w:tcPr>
            <w:tcW w:type="dxa" w:w="3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9"/>
                <w:szCs w:val="19"/>
              </w:rPr>
              <w:t xml:space="preserve">Bridge letter and change log</w:t>
            </w:r>
          </w:p>
        </w:tc>
        <w:tc>
          <w:tcPr>
            <w:tcW w:type="dxa" w:w="51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9"/>
                <w:szCs w:val="19"/>
              </w:rPr>
              <w:t xml:space="preserve">Is it still true today?</w:t>
            </w:r>
          </w:p>
        </w:tc>
      </w:tr>
    </w:tbl>
    <w:p>
      <w:pPr>
        <w:spacing w:after="240"/>
      </w:pPr>
    </w:p>
    <w:p>
      <w:pPr>
        <w:pStyle w:val="Heading2"/>
        <w:keepNext/>
        <w:spacing w:after="90" w:before="180"/>
      </w:pPr>
      <w:r>
        <w:rPr>
          <w:rFonts w:ascii="Arial" w:cs="Arial" w:eastAsia="Arial" w:hAnsi="Arial"/>
          <w:b/>
          <w:bCs/>
          <w:color w:val="0A0A0A"/>
          <w:sz w:val="24"/>
          <w:szCs w:val="24"/>
        </w:rPr>
        <w:t xml:space="preserve">How to use this kit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Fill in the bracketed fields. Gray text in brackets is guidance; delete it when you're done.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Each template has an example for Northwind AI, a made-up company that sells Northwind Assist, an AI assistant that drafts support replies for business software companies.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Date every page, name every owner, and say plainly what's out of scope. A buyer who sees the edges believes the middle.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Share the packet under your NDA or on your trust center, and link it from the cover note.</w:t>
      </w:r>
    </w:p>
    <w:p>
      <w:pPr>
        <w:spacing w:after="200"/>
      </w:pPr>
    </w:p>
    <w:p>
      <w:pPr>
        <w:spacing w:after="120" w:before="0" w:line="288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These templates are general guidance, not legal advice. Adapt them to your contracts, your auditor's guidance and what is actually true at your company. Free to use and adapt.</w:t>
      </w:r>
    </w:p>
    <w:p>
      <w:r>
        <w:br w:type="page"/>
      </w:r>
    </w:p>
    <w:p>
      <w:pPr>
        <w:spacing w:after="60" w:before="0" w:line="288"/>
      </w:pPr>
      <w:r>
        <w:rPr>
          <w:rFonts w:ascii="Arial" w:cs="Arial" w:eastAsia="Arial" w:hAnsi="Arial"/>
          <w:b/>
          <w:bCs/>
          <w:color w:val="6B6B6B"/>
          <w:sz w:val="16"/>
          <w:szCs w:val="16"/>
        </w:rPr>
        <w:t xml:space="preserve">TEMPLATE 1 OF 7</w:t>
      </w:r>
    </w:p>
    <w:p>
      <w:pPr>
        <w:pStyle w:val="Heading1"/>
        <w:keepNext/>
        <w:spacing w:after="160" w:before="0"/>
      </w:pPr>
      <w:r>
        <w:rPr>
          <w:rFonts w:ascii="Arial" w:cs="Arial" w:eastAsia="Arial" w:hAnsi="Arial"/>
          <w:b/>
          <w:bCs/>
          <w:color w:val="0A0A0A"/>
          <w:sz w:val="34"/>
          <w:szCs w:val="34"/>
        </w:rPr>
        <w:t xml:space="preserve">Cover note to the buyer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A0A0A" w:sz="8"/>
              <w:left w:val="single" w:color="D9D9D9" w:sz="4"/>
              <w:bottom w:val="single" w:color="D9D9D9" w:sz="4"/>
              <w:right w:val="single" w:color="D9D9D9" w:sz="4"/>
            </w:tcBorders>
            <w:shd w:fill="FAFAFA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 w:before="0" w:line="288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HOW TO USE THIS TEMPLATE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0A0A0A"/>
                <w:sz w:val="19"/>
                <w:szCs w:val="19"/>
              </w:rPr>
              <w:t xml:space="preserve">Send this with the SOC 2 report. It tells the reviewer what's coming, names the person who owns the answers, and saves you the first round of follow-up emails.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0A0A0A"/>
                <w:sz w:val="19"/>
                <w:szCs w:val="19"/>
              </w:rPr>
              <w:t xml:space="preserve">Only list the documents you're actually attaching. If one isn't ready, give the date it will be.</w:t>
            </w:r>
          </w:p>
        </w:tc>
      </w:tr>
    </w:tbl>
    <w:p>
      <w:pPr>
        <w:spacing w:after="120"/>
      </w:pPr>
    </w:p>
    <w:p>
      <w:pPr>
        <w:spacing w:after="120" w:before="0" w:line="288"/>
      </w:pPr>
      <w:r>
        <w:rPr>
          <w:rFonts w:ascii="Arial" w:cs="Arial" w:eastAsia="Arial" w:hAnsi="Arial"/>
          <w:b/>
          <w:bCs/>
          <w:color w:val="0A0A0A"/>
          <w:sz w:val="20"/>
          <w:szCs w:val="20"/>
        </w:rPr>
        <w:t xml:space="preserve">Subject: [Company] SOC 2 Type 2 report and security packet</w:t>
      </w:r>
    </w:p>
    <w:p>
      <w:pPr>
        <w:spacing w:after="120" w:before="0" w:line="288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Hi [first name],</w:t>
      </w:r>
    </w:p>
    <w:p>
      <w:pPr>
        <w:spacing w:after="120" w:before="0" w:line="288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Attached is our SOC 2 Type 2 report from [audit firm], covering [period start] to [period end]. To save your team time, I've included the documents reviewers usually ask for next: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Penetration test letter and scope summary ([testing firm], [test dates])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SOC 2 scope statement: what the report covers, the vendors we rely on and what sits outside it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Agent access register: each AI agent and integration, its owner and what it can reach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Model and subprocessor disclosure, including our change-notice promise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Named owners and how to reach our security team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Bridge letter covering [period end] to [today] [only if your period ended more than about three months ago]</w:t>
      </w:r>
    </w:p>
    <w:p>
      <w:pPr>
        <w:spacing w:after="120" w:before="80" w:line="288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Everything is shared under our NDA. If anything is missing, reply here or call me at [phone]. I own these answers, and I'm glad to join a call with your security team.</w:t>
      </w:r>
    </w:p>
    <w:p>
      <w:pPr>
        <w:spacing w:after="120" w:before="0" w:line="288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[Name]</w:t>
      </w:r>
    </w:p>
    <w:p>
      <w:pPr>
        <w:spacing w:after="120" w:before="0" w:line="288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[Title], [Company] · [email]</w:t>
      </w:r>
    </w:p>
    <w:p>
      <w:pPr>
        <w:pStyle w:val="Heading2"/>
        <w:keepNext/>
        <w:spacing w:after="90" w:before="180"/>
      </w:pPr>
      <w:r>
        <w:rPr>
          <w:rFonts w:ascii="Arial" w:cs="Arial" w:eastAsia="Arial" w:hAnsi="Arial"/>
          <w:b/>
          <w:bCs/>
          <w:color w:val="0A0A0A"/>
          <w:sz w:val="24"/>
          <w:szCs w:val="24"/>
        </w:rPr>
        <w:t xml:space="preserve">Example</w:t>
      </w:r>
    </w:p>
    <w:p>
      <w:pPr>
        <w:spacing w:after="120" w:before="0" w:line="288"/>
      </w:pPr>
      <w:r>
        <w:rPr>
          <w:rFonts w:ascii="Arial" w:cs="Arial" w:eastAsia="Arial" w:hAnsi="Arial"/>
          <w:color w:val="6B6B6B"/>
          <w:sz w:val="18"/>
          <w:szCs w:val="18"/>
        </w:rPr>
        <w:t xml:space="preserve">Northwind AI, sent October 12, 2026:</w:t>
      </w:r>
    </w:p>
    <w:p>
      <w:pPr>
        <w:spacing w:after="120" w:before="0" w:line="288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Hi Dana, attached is our SOC 2 Type 2 report from Example CPA Firm LLP, covering April 1 to September 30, 2026. I've included our pentest letter and scope summary (Example Security LLC, August 3 to 14), our scope statement, agent access register, model and subprocessor disclosure, and our named owners. Everything is under our NDA. I own these answers; call me any time at the number below. Priya Shah, Head of Security, Northwind AI.</w:t>
      </w:r>
    </w:p>
    <w:p>
      <w:r>
        <w:br w:type="page"/>
      </w:r>
    </w:p>
    <w:p>
      <w:pPr>
        <w:spacing w:after="60" w:before="0" w:line="288"/>
      </w:pPr>
      <w:r>
        <w:rPr>
          <w:rFonts w:ascii="Arial" w:cs="Arial" w:eastAsia="Arial" w:hAnsi="Arial"/>
          <w:b/>
          <w:bCs/>
          <w:color w:val="6B6B6B"/>
          <w:sz w:val="16"/>
          <w:szCs w:val="16"/>
        </w:rPr>
        <w:t xml:space="preserve">TEMPLATE 2 OF 7</w:t>
      </w:r>
    </w:p>
    <w:p>
      <w:pPr>
        <w:pStyle w:val="Heading1"/>
        <w:keepNext/>
        <w:spacing w:after="160" w:before="0"/>
      </w:pPr>
      <w:r>
        <w:rPr>
          <w:rFonts w:ascii="Arial" w:cs="Arial" w:eastAsia="Arial" w:hAnsi="Arial"/>
          <w:b/>
          <w:bCs/>
          <w:color w:val="0A0A0A"/>
          <w:sz w:val="34"/>
          <w:szCs w:val="34"/>
        </w:rPr>
        <w:t xml:space="preserve">Pentest scope summary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A0A0A" w:sz="8"/>
              <w:left w:val="single" w:color="D9D9D9" w:sz="4"/>
              <w:bottom w:val="single" w:color="D9D9D9" w:sz="4"/>
              <w:right w:val="single" w:color="D9D9D9" w:sz="4"/>
            </w:tcBorders>
            <w:shd w:fill="FAFAFA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 w:before="0" w:line="288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HOW TO USE THIS TEMPLATE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0A0A0A"/>
                <w:sz w:val="19"/>
                <w:szCs w:val="19"/>
              </w:rPr>
              <w:t xml:space="preserve">Send this one-page summary with your testing firm's attestation letter. Offer the full report under NDA only if a buyer needs it.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0A0A0A"/>
                <w:sz w:val="19"/>
                <w:szCs w:val="19"/>
              </w:rPr>
              <w:t xml:space="preserve">The out-of-scope row is the one reviewers read hardest. If something wasn't tested, say why and when it will be.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500"/>
        <w:gridCol w:w="3860"/>
      </w:tblGrid>
      <w:tr>
        <w:trPr>
          <w:tblHeader/>
        </w:trPr>
        <w:tc>
          <w:tcPr>
            <w:tcW w:type="dxa" w:w="2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8"/>
                <w:szCs w:val="18"/>
              </w:rPr>
              <w:t xml:space="preserve">Field</w:t>
            </w:r>
          </w:p>
        </w:tc>
        <w:tc>
          <w:tcPr>
            <w:tcW w:type="dxa" w:w="3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8"/>
                <w:szCs w:val="18"/>
              </w:rPr>
              <w:t xml:space="preserve">What to write</w:t>
            </w:r>
          </w:p>
        </w:tc>
        <w:tc>
          <w:tcPr>
            <w:tcW w:type="dxa" w:w="38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8"/>
                <w:szCs w:val="18"/>
              </w:rPr>
              <w:t xml:space="preserve">Example: Northwind AI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Testing firm</w:t>
            </w:r>
          </w:p>
        </w:tc>
        <w:tc>
          <w:tcPr>
            <w:tcW w:type="dxa" w:w="3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[Firm name, accreditation such as CREST]</w:t>
            </w:r>
          </w:p>
        </w:tc>
        <w:tc>
          <w:tcPr>
            <w:tcW w:type="dxa" w:w="38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Example Security LLC, CREST accredited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Testers</w:t>
            </w:r>
          </w:p>
        </w:tc>
        <w:tc>
          <w:tcPr>
            <w:tcW w:type="dxa" w:w="3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[Number of testers, names or certifications]</w:t>
            </w:r>
          </w:p>
        </w:tc>
        <w:tc>
          <w:tcPr>
            <w:tcW w:type="dxa" w:w="38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Two named testers, certifications listed in the letter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Dates and effort</w:t>
            </w:r>
          </w:p>
        </w:tc>
        <w:tc>
          <w:tcPr>
            <w:tcW w:type="dxa" w:w="3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[Start and end dates, tester-days]</w:t>
            </w:r>
          </w:p>
        </w:tc>
        <w:tc>
          <w:tcPr>
            <w:tcW w:type="dxa" w:w="38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August 3 to 14, 2026, 16 tester-days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Environment</w:t>
            </w:r>
          </w:p>
        </w:tc>
        <w:tc>
          <w:tcPr>
            <w:tcW w:type="dxa" w:w="3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[Production or staging; if staging, how it differs]</w:t>
            </w:r>
          </w:p>
        </w:tc>
        <w:tc>
          <w:tcPr>
            <w:tcW w:type="dxa" w:w="38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Production, with a dedicated test tenant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In scope</w:t>
            </w:r>
          </w:p>
        </w:tc>
        <w:tc>
          <w:tcPr>
            <w:tcW w:type="dxa" w:w="3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[Each web app, API, mobile app, cloud account]</w:t>
            </w:r>
          </w:p>
        </w:tc>
        <w:tc>
          <w:tcPr>
            <w:tcW w:type="dxa" w:w="38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Web app, public API, admin console, AWS configuration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AI features</w:t>
            </w:r>
          </w:p>
        </w:tc>
        <w:tc>
          <w:tcPr>
            <w:tcW w:type="dxa" w:w="3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[Prompts, agents, tools, MCP servers tested, or a dated plan]</w:t>
            </w:r>
          </w:p>
        </w:tc>
        <w:tc>
          <w:tcPr>
            <w:tcW w:type="dxa" w:w="38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Assistant prompts, three agent tools, one MCP server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Out of scope, and why</w:t>
            </w:r>
          </w:p>
        </w:tc>
        <w:tc>
          <w:tcPr>
            <w:tcW w:type="dxa" w:w="3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[What wasn't tested, why, and when it will be]</w:t>
            </w:r>
          </w:p>
        </w:tc>
        <w:tc>
          <w:tcPr>
            <w:tcW w:type="dxa" w:w="38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Mobile app, test scheduled November 2026; marketing site, holds no customer data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Method</w:t>
            </w:r>
          </w:p>
        </w:tc>
        <w:tc>
          <w:tcPr>
            <w:tcW w:type="dxa" w:w="3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[Standards followed]</w:t>
            </w:r>
          </w:p>
        </w:tc>
        <w:tc>
          <w:tcPr>
            <w:tcW w:type="dxa" w:w="38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OWASP ASVS 5.0; OWASP top tens for LLM and agentic applications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Findings</w:t>
            </w:r>
          </w:p>
        </w:tc>
        <w:tc>
          <w:tcPr>
            <w:tcW w:type="dxa" w:w="3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[Count by severity]</w:t>
            </w:r>
          </w:p>
        </w:tc>
        <w:tc>
          <w:tcPr>
            <w:tcW w:type="dxa" w:w="38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0 critical, 1 high, 3 medium, 5 low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Retest</w:t>
            </w:r>
          </w:p>
        </w:tc>
        <w:tc>
          <w:tcPr>
            <w:tcW w:type="dxa" w:w="3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[Status of every critical and high finding]</w:t>
            </w:r>
          </w:p>
        </w:tc>
        <w:tc>
          <w:tcPr>
            <w:tcW w:type="dxa" w:w="38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High finding fixed and retested August 28, 2026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Next test</w:t>
            </w:r>
          </w:p>
        </w:tc>
        <w:tc>
          <w:tcPr>
            <w:tcW w:type="dxa" w:w="3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[Date or trigger]</w:t>
            </w:r>
          </w:p>
        </w:tc>
        <w:tc>
          <w:tcPr>
            <w:tcW w:type="dxa" w:w="38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August 2027, or before any major release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Full report</w:t>
            </w:r>
          </w:p>
        </w:tc>
        <w:tc>
          <w:tcPr>
            <w:tcW w:type="dxa" w:w="3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[Who to ask, and on what terms]</w:t>
            </w:r>
          </w:p>
        </w:tc>
        <w:tc>
          <w:tcPr>
            <w:tcW w:type="dxa" w:w="38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Available under NDA from security@northwind.example</w:t>
            </w:r>
          </w:p>
        </w:tc>
      </w:tr>
    </w:tbl>
    <w:p>
      <w:r>
        <w:br w:type="page"/>
      </w:r>
    </w:p>
    <w:p>
      <w:pPr>
        <w:spacing w:after="60" w:before="0" w:line="288"/>
      </w:pPr>
      <w:r>
        <w:rPr>
          <w:rFonts w:ascii="Arial" w:cs="Arial" w:eastAsia="Arial" w:hAnsi="Arial"/>
          <w:b/>
          <w:bCs/>
          <w:color w:val="6B6B6B"/>
          <w:sz w:val="16"/>
          <w:szCs w:val="16"/>
        </w:rPr>
        <w:t xml:space="preserve">TEMPLATE 3 OF 7</w:t>
      </w:r>
    </w:p>
    <w:p>
      <w:pPr>
        <w:pStyle w:val="Heading1"/>
        <w:keepNext/>
        <w:spacing w:after="160" w:before="0"/>
      </w:pPr>
      <w:r>
        <w:rPr>
          <w:rFonts w:ascii="Arial" w:cs="Arial" w:eastAsia="Arial" w:hAnsi="Arial"/>
          <w:b/>
          <w:bCs/>
          <w:color w:val="0A0A0A"/>
          <w:sz w:val="34"/>
          <w:szCs w:val="34"/>
        </w:rPr>
        <w:t xml:space="preserve">SOC 2 scope statement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A0A0A" w:sz="8"/>
              <w:left w:val="single" w:color="D9D9D9" w:sz="4"/>
              <w:bottom w:val="single" w:color="D9D9D9" w:sz="4"/>
              <w:right w:val="single" w:color="D9D9D9" w:sz="4"/>
            </w:tcBorders>
            <w:shd w:fill="FAFAFA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 w:before="0" w:line="288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HOW TO USE THIS TEMPLATE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0A0A0A"/>
                <w:sz w:val="19"/>
                <w:szCs w:val="19"/>
              </w:rPr>
              <w:t xml:space="preserve">One page: what your report covers, the vendors you rely on (name your AI model providers), what sits outside it, and what you need from the customer.</w:t>
            </w:r>
          </w:p>
        </w:tc>
      </w:tr>
    </w:tbl>
    <w:p>
      <w:pPr>
        <w:spacing w:after="120"/>
      </w:pPr>
    </w:p>
    <w:p>
      <w:pPr>
        <w:pStyle w:val="Heading2"/>
        <w:keepNext/>
        <w:spacing w:after="90" w:before="180"/>
      </w:pPr>
      <w:r>
        <w:rPr>
          <w:rFonts w:ascii="Arial" w:cs="Arial" w:eastAsia="Arial" w:hAnsi="Arial"/>
          <w:b/>
          <w:bCs/>
          <w:color w:val="0A0A0A"/>
          <w:sz w:val="24"/>
          <w:szCs w:val="24"/>
        </w:rPr>
        <w:t xml:space="preserve">1. What the report covers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rPr>
          <w:tblHeader/>
        </w:trPr>
        <w:tc>
          <w:tcPr>
            <w:tcW w:type="dxa" w:w="3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8"/>
                <w:szCs w:val="18"/>
              </w:rPr>
              <w:t xml:space="preserve">Item</w:t>
            </w:r>
          </w:p>
        </w:tc>
        <w:tc>
          <w:tcPr>
            <w:tcW w:type="dxa" w:w="61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8"/>
                <w:szCs w:val="18"/>
              </w:rPr>
              <w:t xml:space="preserve">Your answer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Report type and period</w:t>
            </w:r>
          </w:p>
        </w:tc>
        <w:tc>
          <w:tcPr>
            <w:tcW w:type="dxa" w:w="61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[SOC 2 Type 2, period start to period end]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Audit firm and opinion date</w:t>
            </w:r>
          </w:p>
        </w:tc>
        <w:tc>
          <w:tcPr>
            <w:tcW w:type="dxa" w:w="61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[CPA firm name, date of the opinion]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Trust services criteria</w:t>
            </w:r>
          </w:p>
        </w:tc>
        <w:tc>
          <w:tcPr>
            <w:tcW w:type="dxa" w:w="61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[Security, plus Availability or Confidentiality if included]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Products in scope</w:t>
            </w:r>
          </w:p>
        </w:tc>
        <w:tc>
          <w:tcPr>
            <w:tcW w:type="dxa" w:w="61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[Product names exactly as your buyer knows them]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Environments and regions</w:t>
            </w:r>
          </w:p>
        </w:tc>
        <w:tc>
          <w:tcPr>
            <w:tcW w:type="dxa" w:w="61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[Production accounts, regions]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Teams and processes</w:t>
            </w:r>
          </w:p>
        </w:tc>
        <w:tc>
          <w:tcPr>
            <w:tcW w:type="dxa" w:w="61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[Engineering, support, people operations, incident response]</w:t>
            </w:r>
          </w:p>
        </w:tc>
      </w:tr>
    </w:tbl>
    <w:p>
      <w:pPr>
        <w:pStyle w:val="Heading2"/>
        <w:keepNext/>
        <w:spacing w:after="90" w:before="180"/>
      </w:pPr>
      <w:r>
        <w:rPr>
          <w:rFonts w:ascii="Arial" w:cs="Arial" w:eastAsia="Arial" w:hAnsi="Arial"/>
          <w:b/>
          <w:bCs/>
          <w:color w:val="0A0A0A"/>
          <w:sz w:val="24"/>
          <w:szCs w:val="24"/>
        </w:rPr>
        <w:t xml:space="preserve">2. Vendors we rely 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1700"/>
        <w:gridCol w:w="2460"/>
      </w:tblGrid>
      <w:tr>
        <w:trPr>
          <w:tblHeader/>
        </w:trPr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8"/>
                <w:szCs w:val="18"/>
              </w:rPr>
              <w:t xml:space="preserve">Vendor</w:t>
            </w:r>
          </w:p>
        </w:tc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8"/>
                <w:szCs w:val="18"/>
              </w:rPr>
              <w:t xml:space="preserve">What it does for us</w:t>
            </w:r>
          </w:p>
        </w:tc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8"/>
                <w:szCs w:val="18"/>
              </w:rPr>
              <w:t xml:space="preserve">Touches customer data?</w:t>
            </w:r>
          </w:p>
        </w:tc>
        <w:tc>
          <w:tcPr>
            <w:tcW w:type="dxa" w:w="24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8"/>
                <w:szCs w:val="18"/>
              </w:rPr>
              <w:t xml:space="preserve">Their report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[Cloud provider]</w:t>
            </w:r>
          </w:p>
        </w:tc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[Hosting, storage]</w:t>
            </w:r>
          </w:p>
        </w:tc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[Yes/No]</w:t>
            </w:r>
          </w:p>
        </w:tc>
        <w:tc>
          <w:tcPr>
            <w:tcW w:type="dxa" w:w="24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[Their SOC 2, where to get 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[AI model provider]</w:t>
            </w:r>
          </w:p>
        </w:tc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[Which feature uses it]</w:t>
            </w:r>
          </w:p>
        </w:tc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[Yes/No]</w:t>
            </w:r>
          </w:p>
        </w:tc>
        <w:tc>
          <w:tcPr>
            <w:tcW w:type="dxa" w:w="24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[Their report or terms]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Example: Anthropic, through Amazon Bedrock</w:t>
            </w:r>
          </w:p>
        </w:tc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Drafts support replies</w:t>
            </w:r>
          </w:p>
        </w:tc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Yes</w:t>
            </w:r>
          </w:p>
        </w:tc>
        <w:tc>
          <w:tcPr>
            <w:tcW w:type="dxa" w:w="24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AWS and Anthropic reports</w:t>
            </w:r>
          </w:p>
        </w:tc>
      </w:tr>
    </w:tbl>
    <w:p>
      <w:pPr>
        <w:pStyle w:val="Heading2"/>
        <w:keepNext/>
        <w:spacing w:after="90" w:before="180"/>
      </w:pPr>
      <w:r>
        <w:rPr>
          <w:rFonts w:ascii="Arial" w:cs="Arial" w:eastAsia="Arial" w:hAnsi="Arial"/>
          <w:b/>
          <w:bCs/>
          <w:color w:val="0A0A0A"/>
          <w:sz w:val="24"/>
          <w:szCs w:val="24"/>
        </w:rPr>
        <w:t xml:space="preserve">3. What's outside the report, and why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200"/>
        <w:gridCol w:w="3160"/>
      </w:tblGrid>
      <w:tr>
        <w:trPr>
          <w:tblHeader/>
        </w:trPr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8"/>
                <w:szCs w:val="18"/>
              </w:rPr>
              <w:t xml:space="preserve">Outside the report</w:t>
            </w:r>
          </w:p>
        </w:tc>
        <w:tc>
          <w:tcPr>
            <w:tcW w:type="dxa" w:w="3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8"/>
                <w:szCs w:val="18"/>
              </w:rPr>
              <w:t xml:space="preserve">Why</w:t>
            </w:r>
          </w:p>
        </w:tc>
        <w:tc>
          <w:tcPr>
            <w:tcW w:type="dxa" w:w="31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8"/>
                <w:szCs w:val="18"/>
              </w:rPr>
              <w:t xml:space="preserve">Other evidence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[Marketing site]</w:t>
            </w:r>
          </w:p>
        </w:tc>
        <w:tc>
          <w:tcPr>
            <w:tcW w:type="dxa" w:w="3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[No customer data]</w:t>
            </w:r>
          </w:p>
        </w:tc>
        <w:tc>
          <w:tcPr>
            <w:tcW w:type="dxa" w:w="31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[Pentest, separate hosting]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[Internal tools]</w:t>
            </w:r>
          </w:p>
        </w:tc>
        <w:tc>
          <w:tcPr>
            <w:tcW w:type="dxa" w:w="3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[No customer data, or limited access]</w:t>
            </w:r>
          </w:p>
        </w:tc>
        <w:tc>
          <w:tcPr>
            <w:tcW w:type="dxa" w:w="31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[Access reviews, SSO]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[Test and staging environments]</w:t>
            </w:r>
          </w:p>
        </w:tc>
        <w:tc>
          <w:tcPr>
            <w:tcW w:type="dxa" w:w="3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[Synthetic data only]</w:t>
            </w:r>
          </w:p>
        </w:tc>
        <w:tc>
          <w:tcPr>
            <w:tcW w:type="dxa" w:w="31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[Separate accounts, no production keys]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[Laptops]</w:t>
            </w:r>
          </w:p>
        </w:tc>
        <w:tc>
          <w:tcPr>
            <w:tcW w:type="dxa" w:w="3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[Covered by device management]</w:t>
            </w:r>
          </w:p>
        </w:tc>
        <w:tc>
          <w:tcPr>
            <w:tcW w:type="dxa" w:w="31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[MDM enrollment, disk encryption]</w:t>
            </w:r>
          </w:p>
        </w:tc>
      </w:tr>
    </w:tbl>
    <w:p>
      <w:pPr>
        <w:pStyle w:val="Heading2"/>
        <w:keepNext/>
        <w:spacing w:after="90" w:before="180"/>
      </w:pPr>
      <w:r>
        <w:rPr>
          <w:rFonts w:ascii="Arial" w:cs="Arial" w:eastAsia="Arial" w:hAnsi="Arial"/>
          <w:b/>
          <w:bCs/>
          <w:color w:val="0A0A0A"/>
          <w:sz w:val="24"/>
          <w:szCs w:val="24"/>
        </w:rPr>
        <w:t xml:space="preserve">4. What we need from you</w:t>
      </w:r>
    </w:p>
    <w:p>
      <w:pPr>
        <w:spacing w:after="120" w:before="0" w:line="288"/>
      </w:pPr>
      <w:r>
        <w:rPr>
          <w:rFonts w:ascii="Arial" w:cs="Arial" w:eastAsia="Arial" w:hAnsi="Arial"/>
          <w:color w:val="6B6B6B"/>
          <w:sz w:val="18"/>
          <w:szCs w:val="18"/>
        </w:rPr>
        <w:t xml:space="preserve">Your complementary user entity controls, in plain words: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[Turn on single sign-on for your users.]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[Remove departed employees from your account promptly, and keep your API keys out of code.]</w:t>
      </w:r>
    </w:p>
    <w:p>
      <w:pPr>
        <w:sectPr>
          <w:footerReference w:type="default" r:id="rId7"/>
          <w:pgSz w:w="12240" w:h="15840" w:orient="portrait"/>
          <w:pgMar w:top="960" w:right="1440" w:bottom="960" w:left="1440" w:header="708" w:footer="708" w:gutter="0"/>
          <w:pgNumType/>
          <w:docGrid w:linePitch="360"/>
        </w:sectPr>
      </w:pPr>
    </w:p>
    <w:p>
      <w:pPr>
        <w:spacing w:after="60" w:before="0" w:line="288"/>
      </w:pPr>
      <w:r>
        <w:rPr>
          <w:rFonts w:ascii="Arial" w:cs="Arial" w:eastAsia="Arial" w:hAnsi="Arial"/>
          <w:b/>
          <w:bCs/>
          <w:color w:val="6B6B6B"/>
          <w:sz w:val="16"/>
          <w:szCs w:val="16"/>
        </w:rPr>
        <w:t xml:space="preserve">TEMPLATE 4 OF 7</w:t>
      </w:r>
    </w:p>
    <w:p>
      <w:pPr>
        <w:pStyle w:val="Heading1"/>
        <w:keepNext/>
        <w:spacing w:after="160" w:before="0"/>
      </w:pPr>
      <w:r>
        <w:rPr>
          <w:rFonts w:ascii="Arial" w:cs="Arial" w:eastAsia="Arial" w:hAnsi="Arial"/>
          <w:b/>
          <w:bCs/>
          <w:color w:val="0A0A0A"/>
          <w:sz w:val="34"/>
          <w:szCs w:val="34"/>
        </w:rPr>
        <w:t xml:space="preserve">Agent access register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960"/>
      </w:tblGrid>
      <w:tr>
        <w:tc>
          <w:tcPr>
            <w:tcW w:type="dxa" w:w="12960"/>
            <w:tcBorders>
              <w:top w:val="single" w:color="0A0A0A" w:sz="8"/>
              <w:left w:val="single" w:color="D9D9D9" w:sz="4"/>
              <w:bottom w:val="single" w:color="D9D9D9" w:sz="4"/>
              <w:right w:val="single" w:color="D9D9D9" w:sz="4"/>
            </w:tcBorders>
            <w:shd w:fill="FAFAFA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 w:before="0" w:line="288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HOW TO USE THIS TEMPLATE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0A0A0A"/>
                <w:sz w:val="19"/>
                <w:szCs w:val="19"/>
              </w:rPr>
              <w:t xml:space="preserve">One row per AI agent or AI integration that can reach company or customer data. Every row needs a named owner.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0A0A0A"/>
                <w:sz w:val="19"/>
                <w:szCs w:val="19"/>
              </w:rPr>
              <w:t xml:space="preserve">The best answer in the identity column is the agent's own credential. A borrowed user credential or a shared account is the first thing to fix.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0A0A0A"/>
                <w:sz w:val="19"/>
                <w:szCs w:val="19"/>
              </w:rPr>
              <w:t xml:space="preserve">The same columns are in week-after-agent-access-register.csv, ready for a spreadsheet.</w:t>
            </w:r>
          </w:p>
        </w:tc>
      </w:tr>
    </w:tbl>
    <w:p>
      <w:pPr>
        <w:spacing w:after="120"/>
      </w:pP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450"/>
        <w:gridCol w:w="1000"/>
        <w:gridCol w:w="1250"/>
        <w:gridCol w:w="1250"/>
        <w:gridCol w:w="1250"/>
        <w:gridCol w:w="1350"/>
        <w:gridCol w:w="1100"/>
        <w:gridCol w:w="1650"/>
        <w:gridCol w:w="1460"/>
      </w:tblGrid>
      <w:tr>
        <w:trPr>
          <w:tblHeader/>
        </w:trPr>
        <w:tc>
          <w:tcPr>
            <w:tcW w:type="dxa" w:w="1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6"/>
                <w:szCs w:val="16"/>
              </w:rPr>
              <w:t xml:space="preserve">Agent</w:t>
            </w:r>
          </w:p>
        </w:tc>
        <w:tc>
          <w:tcPr>
            <w:tcW w:type="dxa" w:w="14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6"/>
                <w:szCs w:val="16"/>
              </w:rPr>
              <w:t xml:space="preserve">Job</w:t>
            </w:r>
          </w:p>
        </w:tc>
        <w:tc>
          <w:tcPr>
            <w:tcW w:type="dxa" w:w="1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6"/>
                <w:szCs w:val="16"/>
              </w:rPr>
              <w:t xml:space="preserve">Owner</w:t>
            </w:r>
          </w:p>
        </w:tc>
        <w:tc>
          <w:tcPr>
            <w:tcW w:type="dxa" w:w="12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6"/>
                <w:szCs w:val="16"/>
              </w:rPr>
              <w:t xml:space="preserve">Identity</w:t>
            </w:r>
          </w:p>
        </w:tc>
        <w:tc>
          <w:tcPr>
            <w:tcW w:type="dxa" w:w="12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6"/>
                <w:szCs w:val="16"/>
              </w:rPr>
              <w:t xml:space="preserve">Can read</w:t>
            </w:r>
          </w:p>
        </w:tc>
        <w:tc>
          <w:tcPr>
            <w:tcW w:type="dxa" w:w="12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6"/>
                <w:szCs w:val="16"/>
              </w:rPr>
              <w:t xml:space="preserve">Can write</w:t>
            </w:r>
          </w:p>
        </w:tc>
        <w:tc>
          <w:tcPr>
            <w:tcW w:type="dxa" w:w="13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6"/>
                <w:szCs w:val="16"/>
              </w:rPr>
              <w:t xml:space="preserve">Model</w:t>
            </w:r>
          </w:p>
        </w:tc>
        <w:tc>
          <w:tcPr>
            <w:tcW w:type="dxa" w:w="11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6"/>
                <w:szCs w:val="16"/>
              </w:rPr>
              <w:t xml:space="preserve">Logs</w:t>
            </w:r>
          </w:p>
        </w:tc>
        <w:tc>
          <w:tcPr>
            <w:tcW w:type="dxa" w:w="16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6"/>
                <w:szCs w:val="16"/>
              </w:rPr>
              <w:t xml:space="preserve">Revoke</w:t>
            </w:r>
          </w:p>
        </w:tc>
        <w:tc>
          <w:tcPr>
            <w:tcW w:type="dxa" w:w="14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6"/>
                <w:szCs w:val="16"/>
              </w:rPr>
              <w:t xml:space="preserve">Last tested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[Name]</w:t>
            </w:r>
          </w:p>
        </w:tc>
        <w:tc>
          <w:tcPr>
            <w:tcW w:type="dxa" w:w="14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[What it does]</w:t>
            </w:r>
          </w:p>
        </w:tc>
        <w:tc>
          <w:tcPr>
            <w:tcW w:type="dxa" w:w="1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[Person]</w:t>
            </w:r>
          </w:p>
        </w:tc>
        <w:tc>
          <w:tcPr>
            <w:tcW w:type="dxa" w:w="12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[Own / borrowed / shared]</w:t>
            </w:r>
          </w:p>
        </w:tc>
        <w:tc>
          <w:tcPr>
            <w:tcW w:type="dxa" w:w="12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[Systems, data]</w:t>
            </w:r>
          </w:p>
        </w:tc>
        <w:tc>
          <w:tcPr>
            <w:tcW w:type="dxa" w:w="12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[Systems, data]</w:t>
            </w:r>
          </w:p>
        </w:tc>
        <w:tc>
          <w:tcPr>
            <w:tcW w:type="dxa" w:w="13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[Model, provider]</w:t>
            </w:r>
          </w:p>
        </w:tc>
        <w:tc>
          <w:tcPr>
            <w:tcW w:type="dxa" w:w="11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[Where, how long]</w:t>
            </w:r>
          </w:p>
        </w:tc>
        <w:tc>
          <w:tcPr>
            <w:tcW w:type="dxa" w:w="16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[Who, how, how fast]</w:t>
            </w:r>
          </w:p>
        </w:tc>
        <w:tc>
          <w:tcPr>
            <w:tcW w:type="dxa" w:w="14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[Date, what]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Example: Reply drafter</w:t>
            </w:r>
          </w:p>
        </w:tc>
        <w:tc>
          <w:tcPr>
            <w:tcW w:type="dxa" w:w="14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Drafts support replies for agents to review</w:t>
            </w:r>
          </w:p>
        </w:tc>
        <w:tc>
          <w:tcPr>
            <w:tcW w:type="dxa" w:w="1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Priya Shah</w:t>
            </w:r>
          </w:p>
        </w:tc>
        <w:tc>
          <w:tcPr>
            <w:tcW w:type="dxa" w:w="12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Own service identity</w:t>
            </w:r>
          </w:p>
        </w:tc>
        <w:tc>
          <w:tcPr>
            <w:tcW w:type="dxa" w:w="12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Ticket, help center</w:t>
            </w:r>
          </w:p>
        </w:tc>
        <w:tc>
          <w:tcPr>
            <w:tcW w:type="dxa" w:w="12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Draft reply only</w:t>
            </w:r>
          </w:p>
        </w:tc>
        <w:tc>
          <w:tcPr>
            <w:tcW w:type="dxa" w:w="13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Anthropic via Amazon Bedrock</w:t>
            </w:r>
          </w:p>
        </w:tc>
        <w:tc>
          <w:tcPr>
            <w:tcW w:type="dxa" w:w="11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Audit log, 1 year</w:t>
            </w:r>
          </w:p>
        </w:tc>
        <w:tc>
          <w:tcPr>
            <w:tcW w:type="dxa" w:w="16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Support lead disables it in the admin console, under 5 minutes</w:t>
            </w:r>
          </w:p>
        </w:tc>
        <w:tc>
          <w:tcPr>
            <w:tcW w:type="dxa" w:w="14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Prompt injection tests, Sept 2026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Example: Ticket triage</w:t>
            </w:r>
          </w:p>
        </w:tc>
        <w:tc>
          <w:tcPr>
            <w:tcW w:type="dxa" w:w="14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Labels and routes new tickets</w:t>
            </w:r>
          </w:p>
        </w:tc>
        <w:tc>
          <w:tcPr>
            <w:tcW w:type="dxa" w:w="1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Marcus Lee</w:t>
            </w:r>
          </w:p>
        </w:tc>
        <w:tc>
          <w:tcPr>
            <w:tcW w:type="dxa" w:w="12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Own service identity</w:t>
            </w:r>
          </w:p>
        </w:tc>
        <w:tc>
          <w:tcPr>
            <w:tcW w:type="dxa" w:w="12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Ticket text</w:t>
            </w:r>
          </w:p>
        </w:tc>
        <w:tc>
          <w:tcPr>
            <w:tcW w:type="dxa" w:w="12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Ticket labels</w:t>
            </w:r>
          </w:p>
        </w:tc>
        <w:tc>
          <w:tcPr>
            <w:tcW w:type="dxa" w:w="13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Self-hosted open-weight model</w:t>
            </w:r>
          </w:p>
        </w:tc>
        <w:tc>
          <w:tcPr>
            <w:tcW w:type="dxa" w:w="11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Audit log, 1 year</w:t>
            </w:r>
          </w:p>
        </w:tc>
        <w:tc>
          <w:tcPr>
            <w:tcW w:type="dxa" w:w="16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Revoke token in identity provider, under 5 minutes</w:t>
            </w:r>
          </w:p>
        </w:tc>
        <w:tc>
          <w:tcPr>
            <w:tcW w:type="dxa" w:w="14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Sept 2026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Example: Coding agent</w:t>
            </w:r>
          </w:p>
        </w:tc>
        <w:tc>
          <w:tcPr>
            <w:tcW w:type="dxa" w:w="14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Opens pull requests</w:t>
            </w:r>
          </w:p>
        </w:tc>
        <w:tc>
          <w:tcPr>
            <w:tcW w:type="dxa" w:w="1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Ana Ortiz</w:t>
            </w:r>
          </w:p>
        </w:tc>
        <w:tc>
          <w:tcPr>
            <w:tcW w:type="dxa" w:w="12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Own GitHub app, repo-scoped</w:t>
            </w:r>
          </w:p>
        </w:tc>
        <w:tc>
          <w:tcPr>
            <w:tcW w:type="dxa" w:w="12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Source code</w:t>
            </w:r>
          </w:p>
        </w:tc>
        <w:tc>
          <w:tcPr>
            <w:tcW w:type="dxa" w:w="12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Branches and pull requests, no production</w:t>
            </w:r>
          </w:p>
        </w:tc>
        <w:tc>
          <w:tcPr>
            <w:tcW w:type="dxa" w:w="13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Anthropic API</w:t>
            </w:r>
          </w:p>
        </w:tc>
        <w:tc>
          <w:tcPr>
            <w:tcW w:type="dxa" w:w="11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GitHub audit log</w:t>
            </w:r>
          </w:p>
        </w:tc>
        <w:tc>
          <w:tcPr>
            <w:tcW w:type="dxa" w:w="16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Uninstall the app, under 5 minutes</w:t>
            </w:r>
          </w:p>
        </w:tc>
        <w:tc>
          <w:tcPr>
            <w:tcW w:type="dxa" w:w="14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Aug 2026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4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2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2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2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3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1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6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4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4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2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2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2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3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1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6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4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4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2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2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2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3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1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6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4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</w:tr>
    </w:tbl>
    <w:p>
      <w:r>
        <w:br w:type="page"/>
      </w:r>
    </w:p>
    <w:p>
      <w:pPr>
        <w:spacing w:after="60" w:before="0" w:line="288"/>
      </w:pPr>
      <w:r>
        <w:rPr>
          <w:rFonts w:ascii="Arial" w:cs="Arial" w:eastAsia="Arial" w:hAnsi="Arial"/>
          <w:b/>
          <w:bCs/>
          <w:color w:val="6B6B6B"/>
          <w:sz w:val="16"/>
          <w:szCs w:val="16"/>
        </w:rPr>
        <w:t xml:space="preserve">TEMPLATE 5 OF 7</w:t>
      </w:r>
    </w:p>
    <w:p>
      <w:pPr>
        <w:pStyle w:val="Heading1"/>
        <w:keepNext/>
        <w:spacing w:after="160" w:before="0"/>
      </w:pPr>
      <w:r>
        <w:rPr>
          <w:rFonts w:ascii="Arial" w:cs="Arial" w:eastAsia="Arial" w:hAnsi="Arial"/>
          <w:b/>
          <w:bCs/>
          <w:color w:val="0A0A0A"/>
          <w:sz w:val="34"/>
          <w:szCs w:val="34"/>
        </w:rPr>
        <w:t xml:space="preserve">Model and subprocessor disclosure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960"/>
      </w:tblGrid>
      <w:tr>
        <w:tc>
          <w:tcPr>
            <w:tcW w:type="dxa" w:w="12960"/>
            <w:tcBorders>
              <w:top w:val="single" w:color="0A0A0A" w:sz="8"/>
              <w:left w:val="single" w:color="D9D9D9" w:sz="4"/>
              <w:bottom w:val="single" w:color="D9D9D9" w:sz="4"/>
              <w:right w:val="single" w:color="D9D9D9" w:sz="4"/>
            </w:tcBorders>
            <w:shd w:fill="FAFAFA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 w:before="0" w:line="288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HOW TO USE THIS TEMPLATE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0A0A0A"/>
                <w:sz w:val="19"/>
                <w:szCs w:val="19"/>
              </w:rPr>
              <w:t xml:space="preserve">One row per model that touches customer data. Say who made it, who hosts it, where, what data reaches it and what the host keeps.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0A0A0A"/>
                <w:sz w:val="19"/>
                <w:szCs w:val="19"/>
              </w:rPr>
              <w:t xml:space="preserve">If a router or gateway can switch hosts, pin your approved providers and regions, and say so. Add your change-notice promise at the bottom.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0A0A0A"/>
                <w:sz w:val="19"/>
                <w:szCs w:val="19"/>
              </w:rPr>
              <w:t xml:space="preserve">The same columns are in week-after-model-disclosure.csv.</w:t>
            </w:r>
          </w:p>
        </w:tc>
      </w:tr>
    </w:tbl>
    <w:p>
      <w:pPr>
        <w:spacing w:after="120"/>
      </w:pP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50"/>
        <w:gridCol w:w="1450"/>
        <w:gridCol w:w="1700"/>
        <w:gridCol w:w="1350"/>
        <w:gridCol w:w="1900"/>
        <w:gridCol w:w="1650"/>
        <w:gridCol w:w="1600"/>
        <w:gridCol w:w="1660"/>
      </w:tblGrid>
      <w:tr>
        <w:trPr>
          <w:tblHeader/>
        </w:trPr>
        <w:tc>
          <w:tcPr>
            <w:tcW w:type="dxa" w:w="16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6"/>
                <w:szCs w:val="16"/>
              </w:rPr>
              <w:t xml:space="preserve">Model</w:t>
            </w:r>
          </w:p>
        </w:tc>
        <w:tc>
          <w:tcPr>
            <w:tcW w:type="dxa" w:w="14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6"/>
                <w:szCs w:val="16"/>
              </w:rPr>
              <w:t xml:space="preserve">Maker</w:t>
            </w:r>
          </w:p>
        </w:tc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6"/>
                <w:szCs w:val="16"/>
              </w:rPr>
              <w:t xml:space="preserve">Host and region</w:t>
            </w:r>
          </w:p>
        </w:tc>
        <w:tc>
          <w:tcPr>
            <w:tcW w:type="dxa" w:w="13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6"/>
                <w:szCs w:val="16"/>
              </w:rPr>
              <w:t xml:space="preserve">Routing</w:t>
            </w:r>
          </w:p>
        </w:tc>
        <w:tc>
          <w:tcPr>
            <w:tcW w:type="dxa" w:w="19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6"/>
                <w:szCs w:val="16"/>
              </w:rPr>
              <w:t xml:space="preserve">Customer data that reaches it</w:t>
            </w:r>
          </w:p>
        </w:tc>
        <w:tc>
          <w:tcPr>
            <w:tcW w:type="dxa" w:w="16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6"/>
                <w:szCs w:val="16"/>
              </w:rPr>
              <w:t xml:space="preserve">Retention</w:t>
            </w:r>
          </w:p>
        </w:tc>
        <w:tc>
          <w:tcPr>
            <w:tcW w:type="dxa" w:w="1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6"/>
                <w:szCs w:val="16"/>
              </w:rPr>
              <w:t xml:space="preserve">Training on customer data</w:t>
            </w:r>
          </w:p>
        </w:tc>
        <w:tc>
          <w:tcPr>
            <w:tcW w:type="dxa" w:w="16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6"/>
                <w:szCs w:val="16"/>
              </w:rPr>
              <w:t xml:space="preserve">Fallback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[Model name and version]</w:t>
            </w:r>
          </w:p>
        </w:tc>
        <w:tc>
          <w:tcPr>
            <w:tcW w:type="dxa" w:w="14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[Who built it]</w:t>
            </w:r>
          </w:p>
        </w:tc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[Who runs it, where]</w:t>
            </w:r>
          </w:p>
        </w:tc>
        <w:tc>
          <w:tcPr>
            <w:tcW w:type="dxa" w:w="13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[Direct / gateway, pinned?]</w:t>
            </w:r>
          </w:p>
        </w:tc>
        <w:tc>
          <w:tcPr>
            <w:tcW w:type="dxa" w:w="19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[Content, metadata, none]</w:t>
            </w:r>
          </w:p>
        </w:tc>
        <w:tc>
          <w:tcPr>
            <w:tcW w:type="dxa" w:w="16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[How long, by contract or setting]</w:t>
            </w:r>
          </w:p>
        </w:tc>
        <w:tc>
          <w:tcPr>
            <w:tcW w:type="dxa" w:w="1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[No, by contract / by setting]</w:t>
            </w:r>
          </w:p>
        </w:tc>
        <w:tc>
          <w:tcPr>
            <w:tcW w:type="dxa" w:w="16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[Approved alternative]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Example: Claude model for reply drafts</w:t>
            </w:r>
          </w:p>
        </w:tc>
        <w:tc>
          <w:tcPr>
            <w:tcW w:type="dxa" w:w="14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Anthropic</w:t>
            </w:r>
          </w:p>
        </w:tc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Amazon Bedrock, US East</w:t>
            </w:r>
          </w:p>
        </w:tc>
        <w:tc>
          <w:tcPr>
            <w:tcW w:type="dxa" w:w="13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Direct</w:t>
            </w:r>
          </w:p>
        </w:tc>
        <w:tc>
          <w:tcPr>
            <w:tcW w:type="dxa" w:w="19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Ticket text and help center articles</w:t>
            </w:r>
          </w:p>
        </w:tc>
        <w:tc>
          <w:tcPr>
            <w:tcW w:type="dxa" w:w="16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Not stored by the provider for this use</w:t>
            </w:r>
          </w:p>
        </w:tc>
        <w:tc>
          <w:tcPr>
            <w:tcW w:type="dxa" w:w="1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No, by contract</w:t>
            </w:r>
          </w:p>
        </w:tc>
        <w:tc>
          <w:tcPr>
            <w:tcW w:type="dxa" w:w="16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Second approved model on Bedrock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Example: open-weight triage model</w:t>
            </w:r>
          </w:p>
        </w:tc>
        <w:tc>
          <w:tcPr>
            <w:tcW w:type="dxa" w:w="14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Open-weight, documented model card</w:t>
            </w:r>
          </w:p>
        </w:tc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Self-hosted in our AWS account, US East</w:t>
            </w:r>
          </w:p>
        </w:tc>
        <w:tc>
          <w:tcPr>
            <w:tcW w:type="dxa" w:w="13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Direct</w:t>
            </w:r>
          </w:p>
        </w:tc>
        <w:tc>
          <w:tcPr>
            <w:tcW w:type="dxa" w:w="19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Ticket text</w:t>
            </w:r>
          </w:p>
        </w:tc>
        <w:tc>
          <w:tcPr>
            <w:tcW w:type="dxa" w:w="16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Our logs only, 1 year</w:t>
            </w:r>
          </w:p>
        </w:tc>
        <w:tc>
          <w:tcPr>
            <w:tcW w:type="dxa" w:w="1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No</w:t>
            </w:r>
          </w:p>
        </w:tc>
        <w:tc>
          <w:tcPr>
            <w:tcW w:type="dxa" w:w="16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Rules-based routing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4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3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9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6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6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4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3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9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65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  <w:tc>
          <w:tcPr>
            <w:tcW w:type="dxa" w:w="16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60"/>
      </w:pPr>
    </w:p>
    <w:p>
      <w:pPr>
        <w:spacing w:after="120" w:before="0" w:line="288"/>
      </w:pPr>
      <w:r>
        <w:rPr>
          <w:rFonts w:ascii="Arial" w:cs="Arial" w:eastAsia="Arial" w:hAnsi="Arial"/>
          <w:b/>
          <w:bCs/>
          <w:color w:val="0A0A0A"/>
          <w:sz w:val="20"/>
          <w:szCs w:val="20"/>
        </w:rPr>
        <w:t xml:space="preserve">Our change-notice promise</w:t>
      </w:r>
    </w:p>
    <w:p>
      <w:pPr>
        <w:spacing w:after="120" w:before="0" w:line="288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[We give customers at least [30] days' notice before adding or replacing a subprocessor or model provider that processes customer data, by email to subscribers and on our trust center. We may remove a provider at any time.]</w:t>
      </w:r>
    </w:p>
    <w:p>
      <w:pPr>
        <w:spacing w:after="120" w:before="0" w:line="288"/>
      </w:pPr>
      <w:r>
        <w:rPr>
          <w:rFonts w:ascii="Arial" w:cs="Arial" w:eastAsia="Arial" w:hAnsi="Arial"/>
          <w:color w:val="6B6B6B"/>
          <w:sz w:val="18"/>
          <w:szCs w:val="18"/>
        </w:rPr>
        <w:t xml:space="preserve">Subscribe at: [link]</w:t>
      </w:r>
    </w:p>
    <w:p>
      <w:pPr>
        <w:sectPr>
          <w:footerReference w:type="default" r:id="rId8"/>
          <w:pgSz w:w="15840" w:h="12240" w:orient="landscape"/>
          <w:pgMar w:top="1080" w:right="1080" w:bottom="1080" w:left="1080" w:header="708" w:footer="708" w:gutter="0"/>
          <w:pgNumType/>
          <w:docGrid w:linePitch="360"/>
        </w:sectPr>
      </w:pPr>
    </w:p>
    <w:p>
      <w:pPr>
        <w:spacing w:after="60" w:before="0" w:line="288"/>
      </w:pPr>
      <w:r>
        <w:rPr>
          <w:rFonts w:ascii="Arial" w:cs="Arial" w:eastAsia="Arial" w:hAnsi="Arial"/>
          <w:b/>
          <w:bCs/>
          <w:color w:val="6B6B6B"/>
          <w:sz w:val="16"/>
          <w:szCs w:val="16"/>
        </w:rPr>
        <w:t xml:space="preserve">TEMPLATE 6 OF 7</w:t>
      </w:r>
    </w:p>
    <w:p>
      <w:pPr>
        <w:pStyle w:val="Heading1"/>
        <w:keepNext/>
        <w:spacing w:after="160" w:before="0"/>
      </w:pPr>
      <w:r>
        <w:rPr>
          <w:rFonts w:ascii="Arial" w:cs="Arial" w:eastAsia="Arial" w:hAnsi="Arial"/>
          <w:b/>
          <w:bCs/>
          <w:color w:val="0A0A0A"/>
          <w:sz w:val="34"/>
          <w:szCs w:val="34"/>
        </w:rPr>
        <w:t xml:space="preserve">Named owners and security contact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A0A0A" w:sz="8"/>
              <w:left w:val="single" w:color="D9D9D9" w:sz="4"/>
              <w:bottom w:val="single" w:color="D9D9D9" w:sz="4"/>
              <w:right w:val="single" w:color="D9D9D9" w:sz="4"/>
            </w:tcBorders>
            <w:shd w:fill="FAFAFA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 w:before="0" w:line="288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HOW TO USE THIS TEMPLATE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0A0A0A"/>
                <w:sz w:val="19"/>
                <w:szCs w:val="19"/>
              </w:rPr>
              <w:t xml:space="preserve">Every answer in your packet should have a person's name next to it. A fractional or advisory title is fine; an empty row isn't.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0A0A0A"/>
                <w:sz w:val="19"/>
                <w:szCs w:val="19"/>
              </w:rPr>
              <w:t xml:space="preserve">Publish a security.txt file so researchers can reach you. The Contact field is required by RFC 9116.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700"/>
        <w:gridCol w:w="2400"/>
        <w:gridCol w:w="1960"/>
      </w:tblGrid>
      <w:tr>
        <w:trPr>
          <w:tblHeader/>
        </w:trPr>
        <w:tc>
          <w:tcPr>
            <w:tcW w:type="dxa" w:w="23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8"/>
                <w:szCs w:val="18"/>
              </w:rPr>
              <w:t xml:space="preserve">Role</w:t>
            </w:r>
          </w:p>
        </w:tc>
        <w:tc>
          <w:tcPr>
            <w:tcW w:type="dxa" w:w="2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8"/>
                <w:szCs w:val="18"/>
              </w:rPr>
              <w:t xml:space="preserve">Name</w:t>
            </w:r>
          </w:p>
        </w:tc>
        <w:tc>
          <w:tcPr>
            <w:tcW w:type="dxa" w:w="24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8"/>
                <w:szCs w:val="18"/>
              </w:rPr>
              <w:t xml:space="preserve">How to reach</w:t>
            </w:r>
          </w:p>
        </w:tc>
        <w:tc>
          <w:tcPr>
            <w:tcW w:type="dxa" w:w="19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8"/>
                <w:szCs w:val="18"/>
              </w:rPr>
              <w:t xml:space="preserve">Response time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Security owner</w:t>
            </w:r>
          </w:p>
        </w:tc>
        <w:tc>
          <w:tcPr>
            <w:tcW w:type="dxa" w:w="2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[Name, title; fractional is fine]</w:t>
            </w:r>
          </w:p>
        </w:tc>
        <w:tc>
          <w:tcPr>
            <w:tcW w:type="dxa" w:w="24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[Email, phone]</w:t>
            </w:r>
          </w:p>
        </w:tc>
        <w:tc>
          <w:tcPr>
            <w:tcW w:type="dxa" w:w="19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[Business hours]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Incident contact</w:t>
            </w:r>
          </w:p>
        </w:tc>
        <w:tc>
          <w:tcPr>
            <w:tcW w:type="dxa" w:w="2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[Name or rotation]</w:t>
            </w:r>
          </w:p>
        </w:tc>
        <w:tc>
          <w:tcPr>
            <w:tcW w:type="dxa" w:w="24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[security@ address, phone]</w:t>
            </w:r>
          </w:p>
        </w:tc>
        <w:tc>
          <w:tcPr>
            <w:tcW w:type="dxa" w:w="19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[Acknowledge within X hours]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Agent sponsors</w:t>
            </w:r>
          </w:p>
        </w:tc>
        <w:tc>
          <w:tcPr>
            <w:tcW w:type="dxa" w:w="2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[One name per agent, from template 4]</w:t>
            </w:r>
          </w:p>
        </w:tc>
        <w:tc>
          <w:tcPr>
            <w:tcW w:type="dxa" w:w="24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[Email]</w:t>
            </w:r>
          </w:p>
        </w:tc>
        <w:tc>
          <w:tcPr>
            <w:tcW w:type="dxa" w:w="19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[Business hours]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Questionnaire answers</w:t>
            </w:r>
          </w:p>
        </w:tc>
        <w:tc>
          <w:tcPr>
            <w:tcW w:type="dxa" w:w="2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[Who approves them]</w:t>
            </w:r>
          </w:p>
        </w:tc>
        <w:tc>
          <w:tcPr>
            <w:tcW w:type="dxa" w:w="24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[Email]</w:t>
            </w:r>
          </w:p>
        </w:tc>
        <w:tc>
          <w:tcPr>
            <w:tcW w:type="dxa" w:w="19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[Business days]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Bridge letters</w:t>
            </w:r>
          </w:p>
        </w:tc>
        <w:tc>
          <w:tcPr>
            <w:tcW w:type="dxa" w:w="2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[Officer who signs]</w:t>
            </w:r>
          </w:p>
        </w:tc>
        <w:tc>
          <w:tcPr>
            <w:tcW w:type="dxa" w:w="24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[Email]</w:t>
            </w:r>
          </w:p>
        </w:tc>
        <w:tc>
          <w:tcPr>
            <w:tcW w:type="dxa" w:w="19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[On request]</w:t>
            </w:r>
          </w:p>
        </w:tc>
      </w:tr>
    </w:tbl>
    <w:p>
      <w:pPr>
        <w:pStyle w:val="Heading2"/>
        <w:keepNext/>
        <w:spacing w:after="90" w:before="180"/>
      </w:pPr>
      <w:r>
        <w:rPr>
          <w:rFonts w:ascii="Arial" w:cs="Arial" w:eastAsia="Arial" w:hAnsi="Arial"/>
          <w:b/>
          <w:bCs/>
          <w:color w:val="0A0A0A"/>
          <w:sz w:val="24"/>
          <w:szCs w:val="24"/>
        </w:rPr>
        <w:t xml:space="preserve">security.txt</w:t>
      </w:r>
    </w:p>
    <w:p>
      <w:pPr>
        <w:spacing w:after="120" w:before="0" w:line="288"/>
      </w:pPr>
      <w:r>
        <w:rPr>
          <w:rFonts w:ascii="Arial" w:cs="Arial" w:eastAsia="Arial" w:hAnsi="Arial"/>
          <w:color w:val="6B6B6B"/>
          <w:sz w:val="18"/>
          <w:szCs w:val="18"/>
        </w:rPr>
        <w:t xml:space="preserve">Publish at https://[your domain]/.well-known/security.txt</w:t>
      </w:r>
    </w:p>
    <w:p>
      <w:pPr>
        <w:spacing w:after="20" w:before="0" w:line="288"/>
      </w:pPr>
      <w:r>
        <w:rPr>
          <w:rFonts w:ascii="Arial" w:cs="Arial" w:eastAsia="Arial" w:hAnsi="Arial"/>
          <w:color w:val="0A0A0A"/>
          <w:sz w:val="18"/>
          <w:szCs w:val="18"/>
        </w:rPr>
        <w:t xml:space="preserve">Contact: mailto:security@[your domain]</w:t>
      </w:r>
    </w:p>
    <w:p>
      <w:pPr>
        <w:spacing w:after="20" w:before="0" w:line="288"/>
      </w:pPr>
      <w:r>
        <w:rPr>
          <w:rFonts w:ascii="Arial" w:cs="Arial" w:eastAsia="Arial" w:hAnsi="Arial"/>
          <w:color w:val="0A0A0A"/>
          <w:sz w:val="18"/>
          <w:szCs w:val="18"/>
        </w:rPr>
        <w:t xml:space="preserve">Expires: [a date within the next year]</w:t>
      </w:r>
    </w:p>
    <w:p>
      <w:pPr>
        <w:spacing w:after="20" w:before="0" w:line="288"/>
      </w:pPr>
      <w:r>
        <w:rPr>
          <w:rFonts w:ascii="Arial" w:cs="Arial" w:eastAsia="Arial" w:hAnsi="Arial"/>
          <w:color w:val="0A0A0A"/>
          <w:sz w:val="18"/>
          <w:szCs w:val="18"/>
        </w:rPr>
        <w:t xml:space="preserve">Policy: https://[your domain]/security/disclosure</w:t>
      </w:r>
    </w:p>
    <w:p>
      <w:pPr>
        <w:spacing w:after="120" w:before="0" w:line="288"/>
      </w:pPr>
      <w:r>
        <w:rPr>
          <w:rFonts w:ascii="Arial" w:cs="Arial" w:eastAsia="Arial" w:hAnsi="Arial"/>
          <w:color w:val="0A0A0A"/>
          <w:sz w:val="18"/>
          <w:szCs w:val="18"/>
        </w:rPr>
        <w:t xml:space="preserve">Preferred-Languages: en</w:t>
      </w:r>
    </w:p>
    <w:p>
      <w:pPr>
        <w:pStyle w:val="Heading2"/>
        <w:keepNext/>
        <w:spacing w:after="90" w:before="180"/>
      </w:pPr>
      <w:r>
        <w:rPr>
          <w:rFonts w:ascii="Arial" w:cs="Arial" w:eastAsia="Arial" w:hAnsi="Arial"/>
          <w:b/>
          <w:bCs/>
          <w:color w:val="0A0A0A"/>
          <w:sz w:val="24"/>
          <w:szCs w:val="24"/>
        </w:rPr>
        <w:t xml:space="preserve">Hiring and identity</w:t>
      </w:r>
    </w:p>
    <w:p>
      <w:pPr>
        <w:spacing w:after="120" w:before="0" w:line="288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[One sentence on how you verify identity before granting production access, for example: We verify identity with a live video check against a government ID and a reference call before granting production access.]</w:t>
      </w:r>
    </w:p>
    <w:p>
      <w:r>
        <w:br w:type="page"/>
      </w:r>
    </w:p>
    <w:p>
      <w:pPr>
        <w:spacing w:after="60" w:before="0" w:line="288"/>
      </w:pPr>
      <w:r>
        <w:rPr>
          <w:rFonts w:ascii="Arial" w:cs="Arial" w:eastAsia="Arial" w:hAnsi="Arial"/>
          <w:b/>
          <w:bCs/>
          <w:color w:val="6B6B6B"/>
          <w:sz w:val="16"/>
          <w:szCs w:val="16"/>
        </w:rPr>
        <w:t xml:space="preserve">TEMPLATE 7 OF 7</w:t>
      </w:r>
    </w:p>
    <w:p>
      <w:pPr>
        <w:pStyle w:val="Heading1"/>
        <w:keepNext/>
        <w:spacing w:after="160" w:before="0"/>
      </w:pPr>
      <w:r>
        <w:rPr>
          <w:rFonts w:ascii="Arial" w:cs="Arial" w:eastAsia="Arial" w:hAnsi="Arial"/>
          <w:b/>
          <w:bCs/>
          <w:color w:val="0A0A0A"/>
          <w:sz w:val="34"/>
          <w:szCs w:val="34"/>
        </w:rPr>
        <w:t xml:space="preserve">Bridge letter and change log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A0A0A" w:sz="8"/>
              <w:left w:val="single" w:color="D9D9D9" w:sz="4"/>
              <w:bottom w:val="single" w:color="D9D9D9" w:sz="4"/>
              <w:right w:val="single" w:color="D9D9D9" w:sz="4"/>
            </w:tcBorders>
            <w:shd w:fill="FAFAFA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 w:before="0" w:line="288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HOW TO USE THIS TEMPLATE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0A0A0A"/>
                <w:sz w:val="19"/>
                <w:szCs w:val="19"/>
              </w:rPr>
              <w:t xml:space="preserve">Send a bridge letter when your report's period ended more than about three months ago. Management signs it, not your auditor, so keep it short and accurate.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0A0A0A"/>
                <w:sz w:val="19"/>
                <w:szCs w:val="19"/>
              </w:rPr>
              <w:t xml:space="preserve">Attach a dated change log. It turns "is it still true?" into a two-minute read.</w:t>
            </w:r>
          </w:p>
        </w:tc>
      </w:tr>
    </w:tbl>
    <w:p>
      <w:pPr>
        <w:spacing w:after="120"/>
      </w:pPr>
    </w:p>
    <w:p>
      <w:pPr>
        <w:spacing w:after="120" w:before="0" w:line="288"/>
      </w:pPr>
      <w:r>
        <w:rPr>
          <w:rFonts w:ascii="Arial" w:cs="Arial" w:eastAsia="Arial" w:hAnsi="Arial"/>
          <w:color w:val="6B6B6B"/>
          <w:sz w:val="20"/>
          <w:szCs w:val="20"/>
        </w:rPr>
        <w:t xml:space="preserve">[Company letterhead]</w:t>
      </w:r>
    </w:p>
    <w:p>
      <w:pPr>
        <w:spacing w:after="120" w:before="0" w:line="288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[Date]</w:t>
      </w:r>
    </w:p>
    <w:p>
      <w:pPr>
        <w:spacing w:after="120" w:before="0" w:line="288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To [customer name]:</w:t>
      </w:r>
    </w:p>
    <w:p>
      <w:pPr>
        <w:spacing w:after="120" w:before="0" w:line="288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This letter covers the period from [day after your report period ended] through [today's date].</w:t>
      </w:r>
    </w:p>
    <w:p>
      <w:pPr>
        <w:spacing w:after="120" w:before="0" w:line="288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Our most recent SOC 2 Type 2 report, issued by [audit firm] on [opinion date], covered [period start] to [period end] for [system name] under the [trust services criteria] criteria.</w:t>
      </w:r>
    </w:p>
    <w:p>
      <w:pPr>
        <w:spacing w:after="120" w:before="0" w:line="288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Management confirms that, to the best of our knowledge: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There have been no material changes to the system or its controls described in that report, other than those listed in the attached change log.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No security incidents affected the system during this period. [Or: describe any that did.]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Our next SOC 2 Type 2 report, covering [next period], is expected by [date].</w:t>
      </w:r>
    </w:p>
    <w:p>
      <w:pPr>
        <w:spacing w:after="120" w:before="80" w:line="288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This letter is provided by management and has not been examined by our auditor.</w:t>
      </w:r>
    </w:p>
    <w:p>
      <w:pPr>
        <w:spacing w:after="120" w:before="0" w:line="288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[Name], [Title]</w:t>
      </w:r>
    </w:p>
    <w:p>
      <w:pPr>
        <w:spacing w:after="120" w:before="0" w:line="288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[Signature]</w:t>
      </w:r>
    </w:p>
    <w:p>
      <w:pPr>
        <w:pStyle w:val="Heading2"/>
        <w:keepNext/>
        <w:spacing w:after="90" w:before="180"/>
      </w:pPr>
      <w:r>
        <w:rPr>
          <w:rFonts w:ascii="Arial" w:cs="Arial" w:eastAsia="Arial" w:hAnsi="Arial"/>
          <w:b/>
          <w:bCs/>
          <w:color w:val="0A0A0A"/>
          <w:sz w:val="24"/>
          <w:szCs w:val="24"/>
        </w:rPr>
        <w:t xml:space="preserve">Change log since our last report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300"/>
        <w:gridCol w:w="2300"/>
        <w:gridCol w:w="1960"/>
      </w:tblGrid>
      <w:tr>
        <w:trPr>
          <w:tblHeader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8"/>
                <w:szCs w:val="18"/>
              </w:rPr>
              <w:t xml:space="preserve">Date</w:t>
            </w:r>
          </w:p>
        </w:tc>
        <w:tc>
          <w:tcPr>
            <w:tcW w:type="dxa" w:w="33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8"/>
                <w:szCs w:val="18"/>
              </w:rPr>
              <w:t xml:space="preserve">Change</w:t>
            </w:r>
          </w:p>
        </w:tc>
        <w:tc>
          <w:tcPr>
            <w:tcW w:type="dxa" w:w="23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8"/>
                <w:szCs w:val="18"/>
              </w:rPr>
              <w:t xml:space="preserve">What it affects</w:t>
            </w:r>
          </w:p>
        </w:tc>
        <w:tc>
          <w:tcPr>
            <w:tcW w:type="dxa" w:w="19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2F2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/>
                <w:bCs/>
                <w:color w:val="0A0A0A"/>
                <w:sz w:val="18"/>
                <w:szCs w:val="18"/>
              </w:rPr>
              <w:t xml:space="preserve">Where it's documented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[Date]</w:t>
            </w:r>
          </w:p>
        </w:tc>
        <w:tc>
          <w:tcPr>
            <w:tcW w:type="dxa" w:w="33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[What changed]</w:t>
            </w:r>
          </w:p>
        </w:tc>
        <w:tc>
          <w:tcPr>
            <w:tcW w:type="dxa" w:w="23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[System, vendor, control]</w:t>
            </w:r>
          </w:p>
        </w:tc>
        <w:tc>
          <w:tcPr>
            <w:tcW w:type="dxa" w:w="19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[Document or link]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Example: Aug 4, 2026</w:t>
            </w:r>
          </w:p>
        </w:tc>
        <w:tc>
          <w:tcPr>
            <w:tcW w:type="dxa" w:w="33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Added a second approved model for reply drafts</w:t>
            </w:r>
          </w:p>
        </w:tc>
        <w:tc>
          <w:tcPr>
            <w:tcW w:type="dxa" w:w="23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AI subprocessors</w:t>
            </w:r>
          </w:p>
        </w:tc>
        <w:tc>
          <w:tcPr>
            <w:tcW w:type="dxa" w:w="19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Model disclosure, row 2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Example: Sept 2, 2026</w:t>
            </w:r>
          </w:p>
        </w:tc>
        <w:tc>
          <w:tcPr>
            <w:tcW w:type="dxa" w:w="33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Moved application logs to a new vendor</w:t>
            </w:r>
          </w:p>
        </w:tc>
        <w:tc>
          <w:tcPr>
            <w:tcW w:type="dxa" w:w="23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Logging, subprocessors</w:t>
            </w:r>
          </w:p>
        </w:tc>
        <w:tc>
          <w:tcPr>
            <w:tcW w:type="dxa" w:w="19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30" w:line="264"/>
            </w:pPr>
            <w:r>
              <w:rPr>
                <w:rFonts w:ascii="Arial" w:cs="Arial" w:eastAsia="Arial" w:hAnsi="Arial"/>
                <w:b w:val="false"/>
                <w:bCs w:val="false"/>
                <w:color w:val="0A0A0A"/>
                <w:sz w:val="18"/>
                <w:szCs w:val="18"/>
              </w:rPr>
              <w:t xml:space="preserve">Subprocessor list</w:t>
            </w:r>
          </w:p>
        </w:tc>
      </w:tr>
    </w:tbl>
    <w:p>
      <w:r>
        <w:br w:type="page"/>
      </w:r>
    </w:p>
    <w:p>
      <w:pPr>
        <w:spacing w:after="60" w:before="0" w:line="288"/>
      </w:pPr>
      <w:r>
        <w:rPr>
          <w:rFonts w:ascii="Arial" w:cs="Arial" w:eastAsia="Arial" w:hAnsi="Arial"/>
          <w:b/>
          <w:bCs/>
          <w:color w:val="6B6B6B"/>
          <w:sz w:val="16"/>
          <w:szCs w:val="16"/>
        </w:rPr>
        <w:t xml:space="preserve">BEFORE YOU SEND</w:t>
      </w:r>
    </w:p>
    <w:p>
      <w:pPr>
        <w:pStyle w:val="Heading1"/>
        <w:keepNext/>
        <w:spacing w:after="160" w:before="0"/>
      </w:pPr>
      <w:r>
        <w:rPr>
          <w:rFonts w:ascii="Arial" w:cs="Arial" w:eastAsia="Arial" w:hAnsi="Arial"/>
          <w:b/>
          <w:bCs/>
          <w:color w:val="0A0A0A"/>
          <w:sz w:val="34"/>
          <w:szCs w:val="34"/>
        </w:rPr>
        <w:t xml:space="preserve">A last check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Every page is dated, and every row has an owner's name.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Product names match what your buyer calls them.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Your AI model providers are named, in the scope statement and the model disclosure.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Out-of-scope items say why, and when they'll be covered.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If your period ended more than about three months ago, the bridge letter is signed.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The cover note ends with a person who can be reached.</w:t>
      </w:r>
    </w:p>
    <w:p>
      <w:pPr>
        <w:spacing w:after="240"/>
      </w:pPr>
    </w:p>
    <w:p>
      <w:pPr>
        <w:pStyle w:val="Heading2"/>
        <w:keepNext/>
        <w:spacing w:after="90" w:before="180"/>
      </w:pPr>
      <w:r>
        <w:rPr>
          <w:rFonts w:ascii="Arial" w:cs="Arial" w:eastAsia="Arial" w:hAnsi="Arial"/>
          <w:b/>
          <w:bCs/>
          <w:color w:val="0A0A0A"/>
          <w:sz w:val="24"/>
          <w:szCs w:val="24"/>
        </w:rPr>
        <w:t xml:space="preserve">Want a second pair of eyes?</w:t>
      </w:r>
    </w:p>
    <w:p>
      <w:pPr>
        <w:spacing w:after="120" w:before="0" w:line="288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We'll read your packet the way your buyer's reviewer will and tell you what we'd add or cut. Book a free 15-minute security strategy call:</w:t>
      </w:r>
    </w:p>
    <w:p>
      <w:pPr>
        <w:spacing w:after="120" w:before="0" w:line="288"/>
      </w:pPr>
      <w:hyperlink w:history="1" r:id="rId-r93oxkaq2dlo2cy2lkzq">
        <w:r>
          <w:rPr>
            <w:rFonts w:ascii="Arial" w:cs="Arial" w:eastAsia="Arial" w:hAnsi="Arial"/>
            <w:color w:val="0A0A0A"/>
            <w:sz w:val="20"/>
            <w:szCs w:val="20"/>
            <w:u w:val="single"/>
          </w:rPr>
          <w:t xml:space="preserve">cal.com/ysecurity/15min</w:t>
        </w:r>
      </w:hyperlink>
    </w:p>
    <w:p>
      <w:pPr>
        <w:spacing w:after="120" w:before="0" w:line="288"/>
      </w:pPr>
      <w:r>
        <w:rPr>
          <w:rFonts w:ascii="Arial" w:cs="Arial" w:eastAsia="Arial" w:hAnsi="Arial"/>
          <w:color w:val="0A0A0A"/>
          <w:sz w:val="20"/>
          <w:szCs w:val="20"/>
        </w:rPr>
        <w:t xml:space="preserve">The full guide, with the seven-day plan and the evidence behind every template:</w:t>
      </w:r>
    </w:p>
    <w:p>
      <w:pPr>
        <w:spacing w:after="120" w:before="0" w:line="288"/>
      </w:pPr>
      <w:hyperlink w:history="1" r:id="rIdnoco7529shtlanzlhq0eg">
        <w:r>
          <w:rPr>
            <w:rFonts w:ascii="Arial" w:cs="Arial" w:eastAsia="Arial" w:hAnsi="Arial"/>
            <w:color w:val="0A0A0A"/>
            <w:sz w:val="20"/>
            <w:szCs w:val="20"/>
            <w:u w:val="single"/>
          </w:rPr>
          <w:t xml:space="preserve">ysecurity.io/blog/week-after-your-soc-2-report</w:t>
        </w:r>
      </w:hyperlink>
    </w:p>
    <w:p>
      <w:pPr>
        <w:spacing w:after="200"/>
      </w:pPr>
    </w:p>
    <w:p>
      <w:pPr>
        <w:spacing w:after="120" w:before="0" w:line="288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YSecurity is the on-demand cybersecurity team. This kit is general guidance, not legal advice. Northwind AI and every name in the examples are made up.</w:t>
      </w:r>
    </w:p>
    <w:sectPr>
      <w:footerReference w:type="default" r:id="rId9"/>
      <w:pgSz w:w="12240" w:h="15840" w:orient="portrait"/>
      <w:pgMar w:top="960" w:right="1440" w:bottom="96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360"/>
      </w:tabs>
    </w:pPr>
    <w:r>
      <w:rPr>
        <w:rFonts w:ascii="Arial" w:cs="Arial" w:eastAsia="Arial" w:hAnsi="Arial"/>
        <w:color w:val="6B6B6B"/>
        <w:sz w:val="15"/>
        <w:szCs w:val="15"/>
      </w:rPr>
      <w:t xml:space="preserve">The week-after kit · ysecurity.io/blog/week-after-your-soc-2-report</w:t>
    </w:r>
    <w:r>
      <w:rPr>
        <w:rFonts w:ascii="Arial" w:cs="Arial" w:eastAsia="Arial" w:hAnsi="Arial"/>
        <w:color w:val="6B6B6B"/>
        <w:sz w:val="15"/>
        <w:szCs w:val="15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2960"/>
      </w:tabs>
    </w:pPr>
    <w:r>
      <w:rPr>
        <w:rFonts w:ascii="Arial" w:cs="Arial" w:eastAsia="Arial" w:hAnsi="Arial"/>
        <w:color w:val="6B6B6B"/>
        <w:sz w:val="15"/>
        <w:szCs w:val="15"/>
      </w:rPr>
      <w:t xml:space="preserve">The week-after kit · ysecurity.io/blog/week-after-your-soc-2-report</w:t>
    </w:r>
    <w:r>
      <w:rPr>
        <w:rFonts w:ascii="Arial" w:cs="Arial" w:eastAsia="Arial" w:hAnsi="Arial"/>
        <w:color w:val="6B6B6B"/>
        <w:sz w:val="15"/>
        <w:szCs w:val="15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360"/>
      </w:tabs>
    </w:pPr>
    <w:r>
      <w:rPr>
        <w:rFonts w:ascii="Arial" w:cs="Arial" w:eastAsia="Arial" w:hAnsi="Arial"/>
        <w:color w:val="6B6B6B"/>
        <w:sz w:val="15"/>
        <w:szCs w:val="15"/>
      </w:rPr>
      <w:t xml:space="preserve">The week-after kit · ysecurity.io/blog/week-after-your-soc-2-report</w:t>
    </w:r>
    <w:r>
      <w:rPr>
        <w:rFonts w:ascii="Arial" w:cs="Arial" w:eastAsia="Arial" w:hAnsi="Arial"/>
        <w:color w:val="6B6B6B"/>
        <w:sz w:val="15"/>
        <w:szCs w:val="15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-r93oxkaq2dlo2cy2lkzq" Type="http://schemas.openxmlformats.org/officeDocument/2006/relationships/hyperlink" Target="https://cal.com/ysecurity/15min" TargetMode="External"/><Relationship Id="rIdnoco7529shtlanzlhq0eg" Type="http://schemas.openxmlformats.org/officeDocument/2006/relationships/hyperlink" Target="https://ysecurity.io/blog/week-after-your-soc-2-report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week after your SOC 2 report lands: seven templates</dc:title>
  <dc:creator>YSecurity</dc:creator>
  <dc:description>Templates for the documents enterprise buyers ask for after a SOC 2 report.</dc:description>
  <cp:lastModifiedBy>Un-named</cp:lastModifiedBy>
  <cp:revision>1</cp:revision>
  <dcterms:created xsi:type="dcterms:W3CDTF">2026-10-11T21:32:30.863Z</dcterms:created>
  <dcterms:modified xsi:type="dcterms:W3CDTF">2026-10-11T21:32:30.864Z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